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80" w:rsidRDefault="001D1DB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LINEE GUIDA RENDICONTAZIONE</w:t>
      </w:r>
    </w:p>
    <w:p w:rsidR="00EA62B2" w:rsidRPr="00EA62B2" w:rsidRDefault="00EA62B2">
      <w:pPr>
        <w:jc w:val="both"/>
        <w:rPr>
          <w:b/>
          <w:i/>
          <w:color w:val="0070C0"/>
        </w:rPr>
      </w:pPr>
      <w:r w:rsidRPr="00EA62B2">
        <w:rPr>
          <w:b/>
          <w:i/>
          <w:color w:val="0070C0"/>
        </w:rPr>
        <w:t xml:space="preserve">MODALITA’ </w:t>
      </w:r>
      <w:proofErr w:type="spellStart"/>
      <w:r w:rsidRPr="00EA62B2">
        <w:rPr>
          <w:b/>
          <w:i/>
          <w:color w:val="0070C0"/>
        </w:rPr>
        <w:t>DI</w:t>
      </w:r>
      <w:proofErr w:type="spellEnd"/>
      <w:r w:rsidRPr="00EA62B2">
        <w:rPr>
          <w:b/>
          <w:i/>
          <w:color w:val="0070C0"/>
        </w:rPr>
        <w:t xml:space="preserve"> PRESENTAZIONE</w:t>
      </w:r>
    </w:p>
    <w:p w:rsidR="00212880" w:rsidRPr="0074371C" w:rsidRDefault="001D1DBF">
      <w:pPr>
        <w:jc w:val="both"/>
      </w:pPr>
      <w:r w:rsidRPr="0074371C">
        <w:t>La rendicontazione delle entrate e delle spese sostenute va presentata compilando i seguenti moduli</w:t>
      </w:r>
      <w:r w:rsidR="007B7599">
        <w:t>, salvo diverse indicazioni contenute in bandi, avvisi o altro</w:t>
      </w:r>
      <w:r w:rsidRPr="0074371C">
        <w:t>:</w:t>
      </w:r>
    </w:p>
    <w:p w:rsidR="0074371C" w:rsidRPr="00EC2862" w:rsidRDefault="001D1DBF" w:rsidP="0074371C">
      <w:pPr>
        <w:pStyle w:val="Paragrafoelenco"/>
        <w:numPr>
          <w:ilvl w:val="0"/>
          <w:numId w:val="7"/>
        </w:numPr>
        <w:jc w:val="both"/>
        <w:rPr>
          <w:bCs/>
        </w:rPr>
      </w:pPr>
      <w:r w:rsidRPr="0074371C">
        <w:t>allegato A</w:t>
      </w:r>
      <w:r w:rsidR="0074371C" w:rsidRPr="007437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4371C" w:rsidRPr="0074371C">
        <w:rPr>
          <w:bCs/>
        </w:rPr>
        <w:t xml:space="preserve">DICHIARAZIONE A </w:t>
      </w:r>
      <w:r w:rsidR="0074371C" w:rsidRPr="007B7599">
        <w:rPr>
          <w:bCs/>
        </w:rPr>
        <w:t xml:space="preserve">CONSUNTIVO AI FINI DELLA LIQUIDAZIONE </w:t>
      </w:r>
      <w:proofErr w:type="spellStart"/>
      <w:r w:rsidR="0074371C" w:rsidRPr="007B7599">
        <w:rPr>
          <w:bCs/>
        </w:rPr>
        <w:t>DI</w:t>
      </w:r>
      <w:proofErr w:type="spellEnd"/>
      <w:r w:rsidR="0074371C" w:rsidRPr="007B7599">
        <w:rPr>
          <w:bCs/>
        </w:rPr>
        <w:t xml:space="preserve"> CONTRIBUTO EROGATO </w:t>
      </w:r>
      <w:r w:rsidR="0074371C" w:rsidRPr="00EC2862">
        <w:rPr>
          <w:bCs/>
        </w:rPr>
        <w:t xml:space="preserve">DAL COMUNE </w:t>
      </w:r>
      <w:proofErr w:type="spellStart"/>
      <w:r w:rsidR="0074371C" w:rsidRPr="00EC2862">
        <w:rPr>
          <w:bCs/>
        </w:rPr>
        <w:t>DI</w:t>
      </w:r>
      <w:proofErr w:type="spellEnd"/>
      <w:r w:rsidR="0074371C" w:rsidRPr="00EC2862">
        <w:rPr>
          <w:bCs/>
        </w:rPr>
        <w:t xml:space="preserve"> FERRARA;</w:t>
      </w:r>
    </w:p>
    <w:p w:rsidR="001326A3" w:rsidRPr="00EC2862" w:rsidRDefault="001D1DBF" w:rsidP="0050477D">
      <w:pPr>
        <w:pStyle w:val="Paragrafoelenco"/>
        <w:numPr>
          <w:ilvl w:val="0"/>
          <w:numId w:val="7"/>
        </w:numPr>
        <w:jc w:val="both"/>
      </w:pPr>
      <w:r w:rsidRPr="00EC2862">
        <w:t>allegato B</w:t>
      </w:r>
      <w:r w:rsidR="0074371C" w:rsidRPr="00EC2862">
        <w:t xml:space="preserve"> CONSUNTIVO ENTRATE E SPESE</w:t>
      </w:r>
      <w:r w:rsidRPr="00EC2862">
        <w:t xml:space="preserve"> con i giustificativi ordinati per tipologia e i relativi documenti attestanti i pagamenti a comprova della realizzazione del</w:t>
      </w:r>
      <w:r w:rsidR="00601B9E" w:rsidRPr="00EC2862">
        <w:t>l’iniziativa singola/attività annuale</w:t>
      </w:r>
      <w:r w:rsidR="001326A3" w:rsidRPr="00EC2862">
        <w:t xml:space="preserve"> per un importo almeno pari al valore del contributo comunale concesso:</w:t>
      </w:r>
    </w:p>
    <w:p w:rsidR="00212880" w:rsidRDefault="001326A3" w:rsidP="001326A3">
      <w:pPr>
        <w:pStyle w:val="Paragrafoelenco"/>
        <w:numPr>
          <w:ilvl w:val="0"/>
          <w:numId w:val="10"/>
        </w:numPr>
        <w:jc w:val="both"/>
      </w:pPr>
      <w:r w:rsidRPr="007B7599">
        <w:t>presentazione in cartaceo con documentazione  suddivisa e fascicolata per tipologia di entrata</w:t>
      </w:r>
      <w:r>
        <w:t xml:space="preserve"> e spesa (esempio plico A1, A2, B1 ecc.),</w:t>
      </w:r>
    </w:p>
    <w:p w:rsidR="001326A3" w:rsidRDefault="001326A3" w:rsidP="001326A3">
      <w:pPr>
        <w:pStyle w:val="Paragrafoelenco"/>
        <w:numPr>
          <w:ilvl w:val="0"/>
          <w:numId w:val="10"/>
        </w:numPr>
        <w:jc w:val="both"/>
      </w:pPr>
      <w:r>
        <w:t>presentazione in formato digitale con documentazione raccolta in cartelle contenenti i file suddivisi per tipologia di entrata e di spesa (es. cartella A1, A2, B1, ecc.);</w:t>
      </w:r>
    </w:p>
    <w:p w:rsidR="00212880" w:rsidRDefault="0050477D" w:rsidP="0050477D">
      <w:pPr>
        <w:pStyle w:val="Paragrafoelenco"/>
        <w:numPr>
          <w:ilvl w:val="0"/>
          <w:numId w:val="7"/>
        </w:numPr>
        <w:jc w:val="both"/>
      </w:pPr>
      <w:r>
        <w:t>un</w:t>
      </w:r>
      <w:r w:rsidR="001D1DBF">
        <w:t xml:space="preserve">a relazione conclusiva dell’attività svolta corredata dal materiale promozionale e pubblicitario, rassegna stampa, report e indicatori di risultato che permettano di verificare l’effettiva utilizzazione dei contributi concessi ed i risultati. </w:t>
      </w:r>
    </w:p>
    <w:p w:rsidR="001326A3" w:rsidRDefault="001326A3" w:rsidP="007E46CF">
      <w:pPr>
        <w:jc w:val="both"/>
        <w:rPr>
          <w:rFonts w:ascii="Arial" w:eastAsia="Arial" w:hAnsi="Arial" w:cs="Arial"/>
        </w:rPr>
      </w:pPr>
      <w:r>
        <w:t>Per le iniziative singole i</w:t>
      </w:r>
      <w:r w:rsidR="007E46CF" w:rsidRPr="00E36688">
        <w:t>l bilancio consuntivo presentato nell’allegato B</w:t>
      </w:r>
      <w:r w:rsidR="007E46CF">
        <w:t>, tenuto conto anche del previsto contributo comunale,</w:t>
      </w:r>
      <w:r w:rsidR="007E46CF" w:rsidRPr="00E36688">
        <w:t xml:space="preserve"> non dovrà </w:t>
      </w:r>
      <w:r w:rsidR="007E46CF">
        <w:t xml:space="preserve">essere in avanzo </w:t>
      </w:r>
      <w:r w:rsidR="007E46CF" w:rsidRPr="00E36688">
        <w:t>per il beneficiario del contributo, trattandosi da parte dell’amministrazione comunale di un concorso alle spese per la realizzazione del progetto</w:t>
      </w:r>
      <w:r w:rsidR="007E46CF">
        <w:rPr>
          <w:rFonts w:ascii="Arial" w:eastAsia="Arial" w:hAnsi="Arial" w:cs="Arial"/>
        </w:rPr>
        <w:t xml:space="preserve">. </w:t>
      </w:r>
    </w:p>
    <w:p w:rsidR="001326A3" w:rsidRDefault="001326A3" w:rsidP="007E46CF">
      <w:pPr>
        <w:jc w:val="both"/>
        <w:rPr>
          <w:rFonts w:ascii="Arial" w:eastAsia="Arial" w:hAnsi="Arial" w:cs="Arial"/>
        </w:rPr>
      </w:pPr>
      <w:r w:rsidRPr="001326A3">
        <w:rPr>
          <w:rFonts w:asciiTheme="minorHAnsi" w:eastAsia="Arial" w:hAnsiTheme="minorHAnsi" w:cstheme="minorHAnsi"/>
        </w:rPr>
        <w:t>Per le attività annuali</w:t>
      </w:r>
      <w:r>
        <w:rPr>
          <w:rFonts w:ascii="Arial" w:eastAsia="Arial" w:hAnsi="Arial" w:cs="Arial"/>
        </w:rPr>
        <w:t xml:space="preserve"> </w:t>
      </w:r>
      <w:r>
        <w:t>i</w:t>
      </w:r>
      <w:r w:rsidRPr="00E36688">
        <w:t>l bilancio consuntivo presentato nell’allegato B</w:t>
      </w:r>
      <w:r>
        <w:t>, tenuto conto anche del previsto contributo comunale,</w:t>
      </w:r>
      <w:r w:rsidRPr="00E36688">
        <w:t xml:space="preserve"> non dovrà </w:t>
      </w:r>
      <w:r>
        <w:t xml:space="preserve">essere in avanzo </w:t>
      </w:r>
      <w:r w:rsidRPr="00E36688">
        <w:t>per il beneficiario del contributo, trattandosi da parte dell’amministrazione comunale di un concorso alle spese per la realizzazione del progetto</w:t>
      </w:r>
      <w:r w:rsidR="007B7599">
        <w:t>.</w:t>
      </w:r>
    </w:p>
    <w:p w:rsidR="007E46CF" w:rsidRPr="007E46CF" w:rsidRDefault="007E46CF" w:rsidP="007E46CF">
      <w:pPr>
        <w:jc w:val="both"/>
        <w:rPr>
          <w:rFonts w:ascii="Arial" w:eastAsia="Arial" w:hAnsi="Arial" w:cs="Arial"/>
        </w:rPr>
      </w:pPr>
      <w:r w:rsidRPr="00E36688">
        <w:t>Il beneficiario non potrà percepire altri contributi dal Comune di Ferrara</w:t>
      </w:r>
      <w:r>
        <w:t xml:space="preserve"> per la medesima attività progettuale</w:t>
      </w:r>
      <w:r w:rsidR="001326A3">
        <w:t xml:space="preserve"> sia che si tratti di iniziativa singola sia che si tratti di attività annuale</w:t>
      </w:r>
      <w:r w:rsidRPr="00E36688">
        <w:t>.</w:t>
      </w:r>
    </w:p>
    <w:p w:rsidR="008913F2" w:rsidRDefault="007E46CF">
      <w:pPr>
        <w:jc w:val="both"/>
        <w:rPr>
          <w:strike/>
        </w:rPr>
      </w:pPr>
      <w:r>
        <w:t xml:space="preserve">La rendicontazione a saldo dovrà essere </w:t>
      </w:r>
      <w:r w:rsidRPr="00D57053">
        <w:t xml:space="preserve">presentata entro </w:t>
      </w:r>
      <w:r w:rsidR="00EF7E01" w:rsidRPr="00D57053">
        <w:t>6</w:t>
      </w:r>
      <w:r w:rsidRPr="00D57053">
        <w:t xml:space="preserve"> mesi dalla conclusione del</w:t>
      </w:r>
      <w:r w:rsidR="001326A3" w:rsidRPr="00D57053">
        <w:t>l’iniziativa/attività annuale</w:t>
      </w:r>
      <w:r w:rsidRPr="00D57053">
        <w:t xml:space="preserve">. </w:t>
      </w:r>
      <w:r w:rsidR="001D1DBF" w:rsidRPr="00D57053">
        <w:t>Il Comune di Ferrara potrà chiedere integrazioni e chiarimenti sui giustificativi non corrispondenti</w:t>
      </w:r>
      <w:r w:rsidR="001D1DBF" w:rsidRPr="00E36688">
        <w:t xml:space="preserve"> alle tipologie ammissibili e conseguentemente, considerarli ammissibili, parzialmente ammissibili o non ammissibili. Laddove si riscontrassero mancanze e/o irregolarità nella documentazione si potrà procedere all’eventuale riparametrazione</w:t>
      </w:r>
      <w:r w:rsidR="00C4616E" w:rsidRPr="00E36688">
        <w:t xml:space="preserve"> o annullamento del contributo. </w:t>
      </w:r>
      <w:r w:rsidR="001D1DBF" w:rsidRPr="00E36688">
        <w:t xml:space="preserve">Il contributo </w:t>
      </w:r>
      <w:r w:rsidR="008913F2">
        <w:t>potrà essere</w:t>
      </w:r>
      <w:r w:rsidR="001D1DBF" w:rsidRPr="00E36688">
        <w:t xml:space="preserve"> totalmente o parzialmente revocato, qualora</w:t>
      </w:r>
      <w:r w:rsidR="008913F2">
        <w:t>,</w:t>
      </w:r>
      <w:r w:rsidR="001D1DBF" w:rsidRPr="00E36688">
        <w:t xml:space="preserve"> </w:t>
      </w:r>
      <w:r w:rsidR="008913F2" w:rsidRPr="00E36688">
        <w:t>in assenza di  giustificati, validi e comprovati motivi</w:t>
      </w:r>
      <w:r w:rsidR="008913F2">
        <w:t>,</w:t>
      </w:r>
      <w:r w:rsidR="008913F2" w:rsidRPr="00E36688">
        <w:t xml:space="preserve"> </w:t>
      </w:r>
      <w:r w:rsidR="001D1DBF" w:rsidRPr="00E36688">
        <w:t>le attività non siano realizzate oppure siano realizzate in tempi diversi o in misura difforme da quanto indicato nel progetto preventivo.</w:t>
      </w:r>
      <w:r w:rsidR="001D1DBF">
        <w:t xml:space="preserve"> </w:t>
      </w:r>
    </w:p>
    <w:p w:rsidR="00212880" w:rsidRPr="00EA62B2" w:rsidRDefault="00EA62B2">
      <w:pPr>
        <w:jc w:val="both"/>
        <w:rPr>
          <w:b/>
          <w:i/>
          <w:color w:val="0070C0"/>
        </w:rPr>
      </w:pPr>
      <w:r w:rsidRPr="00EA62B2">
        <w:rPr>
          <w:b/>
          <w:i/>
          <w:color w:val="0070C0"/>
        </w:rPr>
        <w:t xml:space="preserve">MODALITA’ </w:t>
      </w:r>
      <w:proofErr w:type="spellStart"/>
      <w:r w:rsidRPr="00EA62B2">
        <w:rPr>
          <w:b/>
          <w:i/>
          <w:color w:val="0070C0"/>
        </w:rPr>
        <w:t>DI</w:t>
      </w:r>
      <w:proofErr w:type="spellEnd"/>
      <w:r w:rsidRPr="00EA62B2">
        <w:rPr>
          <w:b/>
          <w:i/>
          <w:color w:val="0070C0"/>
        </w:rPr>
        <w:t xml:space="preserve"> EROGAZIONE</w:t>
      </w:r>
    </w:p>
    <w:p w:rsidR="00212880" w:rsidRDefault="001D1DBF">
      <w:pPr>
        <w:jc w:val="both"/>
      </w:pPr>
      <w:r>
        <w:t>L’amministrazione comunale, pagherà il dovuto dopo aver effettuato tutte le verifiche necessarie sull’idoneità della documentazione e aver acquisito la regolarità DURC</w:t>
      </w:r>
      <w:r w:rsidR="00BB5505">
        <w:t xml:space="preserve"> (ove previsto)</w:t>
      </w:r>
      <w:r w:rsidR="00730E57">
        <w:t xml:space="preserve"> entro 60 giorni dal ricevimento della documentazione </w:t>
      </w:r>
      <w:r w:rsidR="00730E57" w:rsidRPr="00730E57">
        <w:rPr>
          <w:b/>
          <w:u w:val="single"/>
        </w:rPr>
        <w:t>completa</w:t>
      </w:r>
      <w:r w:rsidR="00730E57">
        <w:t xml:space="preserve"> relativa alla rendicontazione</w:t>
      </w:r>
      <w:r>
        <w:t>.</w:t>
      </w:r>
    </w:p>
    <w:p w:rsidR="00212880" w:rsidRDefault="001D1DBF">
      <w:pPr>
        <w:jc w:val="both"/>
        <w:rPr>
          <w:b/>
          <w:i/>
          <w:color w:val="0070C0"/>
        </w:rPr>
      </w:pPr>
      <w:r>
        <w:rPr>
          <w:b/>
          <w:i/>
          <w:color w:val="0070C0"/>
        </w:rPr>
        <w:t>SPESE AMMISSIBILI</w:t>
      </w:r>
    </w:p>
    <w:p w:rsidR="00212880" w:rsidRDefault="001D1DBF">
      <w:pPr>
        <w:jc w:val="both"/>
      </w:pPr>
      <w:r>
        <w:t xml:space="preserve">Le spese ammissibili devono possedere i seguenti requisiti generali: </w:t>
      </w:r>
    </w:p>
    <w:p w:rsidR="00212880" w:rsidRDefault="001D1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>essere direttamente sostenute dal soggetto beneficiario;</w:t>
      </w:r>
      <w:r>
        <w:rPr>
          <w:strike/>
          <w:color w:val="000000"/>
        </w:rPr>
        <w:t xml:space="preserve"> </w:t>
      </w:r>
    </w:p>
    <w:p w:rsidR="00212880" w:rsidRDefault="001D1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essere connesse</w:t>
      </w:r>
      <w:r w:rsidR="00A521DA">
        <w:rPr>
          <w:color w:val="000000"/>
        </w:rPr>
        <w:t>, congrue</w:t>
      </w:r>
      <w:r>
        <w:rPr>
          <w:color w:val="000000"/>
        </w:rPr>
        <w:t xml:space="preserve"> e funzionali al progetto finanziato;  </w:t>
      </w:r>
    </w:p>
    <w:p w:rsidR="00212880" w:rsidRDefault="001D1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essere riferite all’arco temporale </w:t>
      </w:r>
      <w:r w:rsidR="00BB5505">
        <w:rPr>
          <w:color w:val="000000"/>
        </w:rPr>
        <w:t>dell’iniziativa singola o all’anno intero per le attività annuali</w:t>
      </w:r>
      <w:r>
        <w:rPr>
          <w:color w:val="000000"/>
        </w:rPr>
        <w:t xml:space="preserve">; </w:t>
      </w:r>
    </w:p>
    <w:p w:rsidR="00212880" w:rsidRDefault="001D1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rappresentare costi reali ed effettivi, identificabili e controllabili; </w:t>
      </w:r>
    </w:p>
    <w:p w:rsidR="00212880" w:rsidRDefault="001D1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essere opportunamente documentate, con documenti fiscalmente validi;</w:t>
      </w:r>
    </w:p>
    <w:p w:rsidR="00212880" w:rsidRDefault="001D1DBF">
      <w:pPr>
        <w:jc w:val="both"/>
        <w:rPr>
          <w:b/>
          <w:i/>
        </w:rPr>
      </w:pPr>
      <w:r>
        <w:rPr>
          <w:b/>
          <w:i/>
        </w:rPr>
        <w:t>Sono ammissibili:</w:t>
      </w:r>
    </w:p>
    <w:p w:rsidR="00966F16" w:rsidRDefault="005C3083" w:rsidP="001625C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625C5">
        <w:rPr>
          <w:b/>
          <w:i/>
        </w:rPr>
        <w:t>OSPITALITA’</w:t>
      </w:r>
      <w:r w:rsidRPr="006E2D20">
        <w:t xml:space="preserve"> </w:t>
      </w:r>
      <w:r>
        <w:t>: spes</w:t>
      </w:r>
      <w:r w:rsidR="00B76120">
        <w:t>e di ospitalità e trasferimenti</w:t>
      </w:r>
      <w:r w:rsidR="00050622">
        <w:t>, ecc.</w:t>
      </w:r>
      <w:r w:rsidR="00B76120">
        <w:t>;</w:t>
      </w:r>
    </w:p>
    <w:p w:rsidR="00966F16" w:rsidRDefault="00966F16" w:rsidP="001625C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625C5">
        <w:rPr>
          <w:b/>
          <w:i/>
        </w:rPr>
        <w:t xml:space="preserve">SPESE </w:t>
      </w:r>
      <w:proofErr w:type="spellStart"/>
      <w:r w:rsidRPr="001625C5">
        <w:rPr>
          <w:b/>
          <w:i/>
        </w:rPr>
        <w:t>DI</w:t>
      </w:r>
      <w:proofErr w:type="spellEnd"/>
      <w:r w:rsidRPr="001625C5">
        <w:rPr>
          <w:b/>
          <w:i/>
        </w:rPr>
        <w:t xml:space="preserve"> PERSONALE</w:t>
      </w:r>
      <w:r w:rsidRPr="001625C5">
        <w:rPr>
          <w:color w:val="000000"/>
        </w:rPr>
        <w:t xml:space="preserve">: costi per la retribuzione del personale dipendente e non dipendente </w:t>
      </w:r>
      <w:r w:rsidR="00C6579D">
        <w:rPr>
          <w:color w:val="000000"/>
        </w:rPr>
        <w:t xml:space="preserve">per la </w:t>
      </w:r>
      <w:r w:rsidR="00A40BD4">
        <w:rPr>
          <w:color w:val="000000"/>
        </w:rPr>
        <w:t>quota parte</w:t>
      </w:r>
      <w:r>
        <w:t xml:space="preserve"> </w:t>
      </w:r>
      <w:r w:rsidR="00C6579D">
        <w:rPr>
          <w:color w:val="000000"/>
        </w:rPr>
        <w:t xml:space="preserve">impiegata nella realizzazione dell’iniziativa singola/attività annuale </w:t>
      </w:r>
      <w:r w:rsidRPr="001625C5">
        <w:rPr>
          <w:color w:val="000000"/>
        </w:rPr>
        <w:t>e per l’arco temporale dello stesso;</w:t>
      </w:r>
    </w:p>
    <w:p w:rsidR="00D30A46" w:rsidRPr="001625C5" w:rsidRDefault="00D30A46" w:rsidP="001625C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 w:rsidRPr="001625C5">
        <w:rPr>
          <w:b/>
          <w:i/>
        </w:rPr>
        <w:t xml:space="preserve">SPESE </w:t>
      </w:r>
      <w:proofErr w:type="spellStart"/>
      <w:r w:rsidRPr="001625C5">
        <w:rPr>
          <w:b/>
          <w:i/>
        </w:rPr>
        <w:t>DI</w:t>
      </w:r>
      <w:proofErr w:type="spellEnd"/>
      <w:r w:rsidRPr="001625C5">
        <w:rPr>
          <w:b/>
          <w:i/>
        </w:rPr>
        <w:t xml:space="preserve"> PROMOZIONE E COMUNICAZION</w:t>
      </w:r>
      <w:r w:rsidR="001625C5" w:rsidRPr="001625C5">
        <w:rPr>
          <w:b/>
          <w:i/>
        </w:rPr>
        <w:t>E:</w:t>
      </w:r>
      <w:r w:rsidR="001625C5" w:rsidRPr="001625C5">
        <w:rPr>
          <w:color w:val="000000"/>
        </w:rPr>
        <w:t xml:space="preserve"> </w:t>
      </w:r>
      <w:r w:rsidR="00BE52BC">
        <w:rPr>
          <w:color w:val="000000"/>
        </w:rPr>
        <w:t>costi di promozione,</w:t>
      </w:r>
      <w:r w:rsidR="001625C5" w:rsidRPr="001625C5">
        <w:rPr>
          <w:color w:val="000000"/>
        </w:rPr>
        <w:t xml:space="preserve"> comunicazione</w:t>
      </w:r>
      <w:r w:rsidR="00BE52BC">
        <w:rPr>
          <w:color w:val="000000"/>
        </w:rPr>
        <w:t>, pubblicità, ufficio stampa e rappresentanza</w:t>
      </w:r>
      <w:r w:rsidR="00050622">
        <w:rPr>
          <w:color w:val="000000"/>
        </w:rPr>
        <w:t>,</w:t>
      </w:r>
      <w:r w:rsidR="00297841">
        <w:rPr>
          <w:color w:val="000000"/>
        </w:rPr>
        <w:t xml:space="preserve"> pubblicazioni (</w:t>
      </w:r>
      <w:r w:rsidR="00297841" w:rsidRPr="00297841">
        <w:rPr>
          <w:color w:val="000000"/>
        </w:rPr>
        <w:t>programmi, cataloghi, libri, cd, dvd, gadget, ecc.) inerenti l'attività progettuale</w:t>
      </w:r>
      <w:r w:rsidR="00297841">
        <w:rPr>
          <w:color w:val="000000"/>
        </w:rPr>
        <w:t>,</w:t>
      </w:r>
      <w:r w:rsidR="00050622">
        <w:rPr>
          <w:color w:val="000000"/>
        </w:rPr>
        <w:t xml:space="preserve"> ecc.</w:t>
      </w:r>
      <w:r w:rsidR="001625C5" w:rsidRPr="001625C5">
        <w:rPr>
          <w:color w:val="000000"/>
        </w:rPr>
        <w:t>;</w:t>
      </w:r>
    </w:p>
    <w:p w:rsidR="00D30A46" w:rsidRPr="001625C5" w:rsidRDefault="00D30A46" w:rsidP="001625C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 w:rsidRPr="001625C5">
        <w:rPr>
          <w:b/>
          <w:i/>
        </w:rPr>
        <w:t>SPESE PER AGGIORNAMENTO E PERFEZIONAMENTO PROFESSIONALE</w:t>
      </w:r>
      <w:r w:rsidR="00050622">
        <w:rPr>
          <w:b/>
          <w:i/>
        </w:rPr>
        <w:t>:</w:t>
      </w:r>
      <w:r w:rsidR="001625C5" w:rsidRPr="001625C5">
        <w:rPr>
          <w:color w:val="000000"/>
        </w:rPr>
        <w:t xml:space="preserve"> costi per aggiornamento e perfezionamento professionale relativi alla realizzazione </w:t>
      </w:r>
      <w:r w:rsidR="00C6579D">
        <w:rPr>
          <w:color w:val="000000"/>
        </w:rPr>
        <w:t>dell’iniziativa singola/attività annuale</w:t>
      </w:r>
      <w:r w:rsidR="001625C5" w:rsidRPr="001625C5">
        <w:rPr>
          <w:color w:val="000000"/>
        </w:rPr>
        <w:t>;</w:t>
      </w:r>
    </w:p>
    <w:p w:rsidR="001625C5" w:rsidRPr="001625C5" w:rsidRDefault="00D30A46" w:rsidP="001625C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 w:rsidRPr="001625C5">
        <w:rPr>
          <w:b/>
          <w:i/>
        </w:rPr>
        <w:t>SPESE PER ALLESTIMENTI E ATTREZZATURE</w:t>
      </w:r>
      <w:r w:rsidR="005C3083" w:rsidRPr="001625C5">
        <w:rPr>
          <w:b/>
          <w:i/>
        </w:rPr>
        <w:t xml:space="preserve">: </w:t>
      </w:r>
      <w:r w:rsidR="005C3083" w:rsidRPr="001625C5">
        <w:rPr>
          <w:color w:val="000000"/>
        </w:rPr>
        <w:t>costi per servizi e prestazioni professionali di terzi</w:t>
      </w:r>
      <w:r w:rsidR="00050622">
        <w:rPr>
          <w:color w:val="000000"/>
        </w:rPr>
        <w:t xml:space="preserve">, </w:t>
      </w:r>
      <w:r w:rsidR="00050622" w:rsidRPr="001625C5">
        <w:rPr>
          <w:color w:val="000000"/>
        </w:rPr>
        <w:t>nolegg</w:t>
      </w:r>
      <w:r w:rsidR="00050622">
        <w:rPr>
          <w:color w:val="000000"/>
        </w:rPr>
        <w:t xml:space="preserve">i </w:t>
      </w:r>
      <w:r w:rsidR="00050622" w:rsidRPr="001625C5">
        <w:rPr>
          <w:color w:val="000000"/>
        </w:rPr>
        <w:t xml:space="preserve">impiegati nella realizzazione </w:t>
      </w:r>
      <w:r w:rsidR="00C6579D">
        <w:rPr>
          <w:color w:val="000000"/>
        </w:rPr>
        <w:t>dell’iniziativa singola/attività annuale</w:t>
      </w:r>
      <w:r w:rsidR="00050622">
        <w:rPr>
          <w:color w:val="000000"/>
        </w:rPr>
        <w:t>, ecc.;</w:t>
      </w:r>
    </w:p>
    <w:p w:rsidR="001625C5" w:rsidRPr="007B7599" w:rsidRDefault="00050622" w:rsidP="001625C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 w:rsidRPr="00050622">
        <w:rPr>
          <w:b/>
          <w:i/>
          <w:color w:val="000000"/>
        </w:rPr>
        <w:t xml:space="preserve">SPESE </w:t>
      </w:r>
      <w:proofErr w:type="spellStart"/>
      <w:r w:rsidRPr="00050622">
        <w:rPr>
          <w:b/>
          <w:i/>
          <w:color w:val="000000"/>
        </w:rPr>
        <w:t>DI</w:t>
      </w:r>
      <w:proofErr w:type="spellEnd"/>
      <w:r w:rsidRPr="00050622">
        <w:rPr>
          <w:b/>
          <w:i/>
          <w:color w:val="000000"/>
        </w:rPr>
        <w:t xml:space="preserve"> ORGANIZZAZIONE</w:t>
      </w:r>
      <w:r>
        <w:rPr>
          <w:b/>
          <w:i/>
          <w:color w:val="000000"/>
        </w:rPr>
        <w:t xml:space="preserve"> E PRODUZIONE:</w:t>
      </w:r>
      <w:r>
        <w:rPr>
          <w:color w:val="000000"/>
        </w:rPr>
        <w:t xml:space="preserve"> affitto immobili o location per svolgimento attività, </w:t>
      </w:r>
      <w:r w:rsidR="005C3083" w:rsidRPr="001625C5">
        <w:rPr>
          <w:color w:val="000000"/>
        </w:rPr>
        <w:t>costi per servizi e prestazioni professionali di terzi</w:t>
      </w:r>
      <w:r>
        <w:rPr>
          <w:color w:val="000000"/>
        </w:rPr>
        <w:t>,</w:t>
      </w:r>
      <w:r w:rsidR="005C3083" w:rsidRPr="001625C5">
        <w:rPr>
          <w:color w:val="000000"/>
        </w:rPr>
        <w:t xml:space="preserve"> </w:t>
      </w:r>
      <w:r w:rsidR="00837B9D">
        <w:rPr>
          <w:color w:val="000000"/>
        </w:rPr>
        <w:t xml:space="preserve">spese di sicurezza, </w:t>
      </w:r>
      <w:r w:rsidR="001625C5" w:rsidRPr="001625C5">
        <w:rPr>
          <w:color w:val="000000"/>
        </w:rPr>
        <w:t xml:space="preserve">compensi ad artisti, </w:t>
      </w:r>
      <w:r w:rsidR="00BB5505">
        <w:rPr>
          <w:color w:val="000000"/>
        </w:rPr>
        <w:t xml:space="preserve">atleti, allenatori, istruttori, </w:t>
      </w:r>
      <w:r w:rsidR="001625C5" w:rsidRPr="001625C5">
        <w:rPr>
          <w:color w:val="000000"/>
        </w:rPr>
        <w:t>relatori, ricercatori, esecutori, dire</w:t>
      </w:r>
      <w:r>
        <w:rPr>
          <w:color w:val="000000"/>
        </w:rPr>
        <w:t xml:space="preserve">zione artistica, inclusi premi, </w:t>
      </w:r>
      <w:r w:rsidR="001625C5" w:rsidRPr="001625C5">
        <w:rPr>
          <w:color w:val="000000"/>
        </w:rPr>
        <w:t xml:space="preserve">diritti d’autore connessi alla realizzazione </w:t>
      </w:r>
      <w:r w:rsidR="00C6579D" w:rsidRPr="007B7599">
        <w:rPr>
          <w:color w:val="000000"/>
        </w:rPr>
        <w:t>dell’iniziativa singola/attività annuale</w:t>
      </w:r>
      <w:r w:rsidRPr="007B7599">
        <w:rPr>
          <w:color w:val="000000"/>
        </w:rPr>
        <w:t>, ecc.</w:t>
      </w:r>
      <w:r w:rsidR="001625C5" w:rsidRPr="007B7599">
        <w:rPr>
          <w:color w:val="000000"/>
        </w:rPr>
        <w:t>;</w:t>
      </w:r>
    </w:p>
    <w:p w:rsidR="00D30A46" w:rsidRPr="007B7599" w:rsidRDefault="00D30A46" w:rsidP="001625C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 w:rsidRPr="007B7599">
        <w:rPr>
          <w:b/>
          <w:i/>
        </w:rPr>
        <w:t xml:space="preserve">SPESE BANCARIE E </w:t>
      </w:r>
      <w:proofErr w:type="spellStart"/>
      <w:r w:rsidRPr="007B7599">
        <w:rPr>
          <w:b/>
          <w:i/>
        </w:rPr>
        <w:t>DI</w:t>
      </w:r>
      <w:proofErr w:type="spellEnd"/>
      <w:r w:rsidRPr="007B7599">
        <w:rPr>
          <w:b/>
          <w:i/>
        </w:rPr>
        <w:t xml:space="preserve"> ASSICURAZIONE</w:t>
      </w:r>
      <w:r w:rsidR="001625C5" w:rsidRPr="007B7599">
        <w:rPr>
          <w:b/>
          <w:i/>
        </w:rPr>
        <w:t>:</w:t>
      </w:r>
      <w:r w:rsidR="001625C5" w:rsidRPr="007B7599">
        <w:rPr>
          <w:color w:val="000000"/>
        </w:rPr>
        <w:t xml:space="preserve"> spese bancarie legate all’attività progettuale, anche per</w:t>
      </w:r>
      <w:r w:rsidR="007B7599" w:rsidRPr="007B7599">
        <w:rPr>
          <w:color w:val="000000"/>
        </w:rPr>
        <w:t xml:space="preserve"> oneri finanziari relativi ad</w:t>
      </w:r>
      <w:r w:rsidR="001625C5" w:rsidRPr="007B7599">
        <w:rPr>
          <w:color w:val="000000"/>
        </w:rPr>
        <w:t xml:space="preserve"> anticipazione di liquidità; spese di assicurazione relative alle attività oggetto del contributo</w:t>
      </w:r>
      <w:r w:rsidR="00050622" w:rsidRPr="007B7599">
        <w:rPr>
          <w:color w:val="000000"/>
        </w:rPr>
        <w:t>, ecc.</w:t>
      </w:r>
      <w:r w:rsidR="001625C5" w:rsidRPr="007B7599">
        <w:rPr>
          <w:color w:val="000000"/>
        </w:rPr>
        <w:t>;</w:t>
      </w:r>
    </w:p>
    <w:p w:rsidR="001625C5" w:rsidRPr="001625C5" w:rsidRDefault="00D30A46" w:rsidP="001625C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A53718">
        <w:rPr>
          <w:b/>
          <w:i/>
        </w:rPr>
        <w:t>CANONI E PERMESSI</w:t>
      </w:r>
      <w:r w:rsidR="001625C5" w:rsidRPr="001625C5">
        <w:rPr>
          <w:color w:val="000000"/>
        </w:rPr>
        <w:t>: canoni e permessi che dovranno essere intestati direttamente al beneficiario;</w:t>
      </w:r>
    </w:p>
    <w:p w:rsidR="001625C5" w:rsidRDefault="00D30A46" w:rsidP="001625C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625C5">
        <w:rPr>
          <w:b/>
          <w:i/>
        </w:rPr>
        <w:t>SPESE GENERALI</w:t>
      </w:r>
      <w:r w:rsidR="001625C5" w:rsidRPr="001625C5">
        <w:t xml:space="preserve"> </w:t>
      </w:r>
      <w:r w:rsidR="001625C5" w:rsidRPr="001625C5">
        <w:rPr>
          <w:color w:val="000000"/>
        </w:rPr>
        <w:t>spese generali per la quota parte relativ</w:t>
      </w:r>
      <w:r w:rsidR="00601B9E">
        <w:rPr>
          <w:color w:val="000000"/>
        </w:rPr>
        <w:t xml:space="preserve">a al periodo di svolgimento dell’iniziativa singola/attività annuale </w:t>
      </w:r>
      <w:r w:rsidR="001625C5" w:rsidRPr="001625C5">
        <w:rPr>
          <w:color w:val="000000"/>
        </w:rPr>
        <w:t>(utenze, affitto sede, materiali di consumo, cancelleria e simili</w:t>
      </w:r>
      <w:r w:rsidR="00293CAB">
        <w:rPr>
          <w:color w:val="000000"/>
        </w:rPr>
        <w:t xml:space="preserve">, spese postali, rimborsi spese, </w:t>
      </w:r>
      <w:r w:rsidR="001625C5" w:rsidRPr="001625C5">
        <w:rPr>
          <w:color w:val="000000"/>
        </w:rPr>
        <w:t xml:space="preserve">spese </w:t>
      </w:r>
      <w:r w:rsidR="00293CAB">
        <w:rPr>
          <w:color w:val="000000"/>
        </w:rPr>
        <w:t xml:space="preserve">di </w:t>
      </w:r>
      <w:r w:rsidR="001625C5" w:rsidRPr="001625C5">
        <w:rPr>
          <w:color w:val="000000"/>
        </w:rPr>
        <w:t xml:space="preserve">pulizia, </w:t>
      </w:r>
      <w:proofErr w:type="spellStart"/>
      <w:r w:rsidR="001625C5" w:rsidRPr="001625C5">
        <w:rPr>
          <w:color w:val="000000"/>
        </w:rPr>
        <w:t>guardiani</w:t>
      </w:r>
      <w:r w:rsidR="00293CAB">
        <w:rPr>
          <w:color w:val="000000"/>
        </w:rPr>
        <w:t>a</w:t>
      </w:r>
      <w:proofErr w:type="spellEnd"/>
      <w:r w:rsidR="001625C5" w:rsidRPr="001625C5">
        <w:rPr>
          <w:color w:val="000000"/>
        </w:rPr>
        <w:t xml:space="preserve">, </w:t>
      </w:r>
      <w:r w:rsidR="00050622">
        <w:t>beni durevoli funzionali alla realizzazione del progetto per la quota di ammortamento relativa al periodo di svolgimento del progetto,</w:t>
      </w:r>
      <w:r w:rsidR="00050622" w:rsidRPr="001625C5">
        <w:rPr>
          <w:color w:val="000000"/>
        </w:rPr>
        <w:t xml:space="preserve"> </w:t>
      </w:r>
      <w:r w:rsidR="001625C5" w:rsidRPr="001625C5">
        <w:rPr>
          <w:color w:val="000000"/>
        </w:rPr>
        <w:t>ecc.) e altre voci non comprese nell’elenco</w:t>
      </w:r>
      <w:r w:rsidR="00090F0C">
        <w:t>.</w:t>
      </w:r>
    </w:p>
    <w:p w:rsidR="00212880" w:rsidRDefault="00212880" w:rsidP="00966F1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:rsidR="00212880" w:rsidRDefault="001D1DBF">
      <w:pPr>
        <w:jc w:val="both"/>
      </w:pPr>
      <w:r>
        <w:t>Le eventuali spese pagate in valuta estera debbono essere corredate da una dichiarazione sottoscritta dal Presidente/Legale Rappresentante, contenente il valore in Euro con il cambio valevole al giorno del pagamento.</w:t>
      </w:r>
    </w:p>
    <w:p w:rsidR="00212880" w:rsidRDefault="001D1DBF">
      <w:pPr>
        <w:jc w:val="both"/>
      </w:pPr>
      <w:r>
        <w:t>L’imposta sul valore aggiunto può costituire un costo ammissibile solo se è realmente e definitivamente sostenuta dal</w:t>
      </w:r>
      <w:r w:rsidR="004351EB">
        <w:t xml:space="preserve"> beneficiario</w:t>
      </w:r>
      <w:r>
        <w:t>. L’IVA che può essere recuperata non può essere considerata ammissibile. La compilazione del prospetto allegato B nell’ammontare  delle entrate e delle spese terrà conto del regime IVA del beneficiario del contributo a seconda della dichiarazione obbligatoria di ritenuta d’acconto del 4% (</w:t>
      </w:r>
      <w:r w:rsidR="00587DB6">
        <w:t>IRPEF/</w:t>
      </w:r>
      <w:r>
        <w:t xml:space="preserve">IRES) effettuata con firma del legale rappresentate ovvero: </w:t>
      </w:r>
    </w:p>
    <w:p w:rsidR="00212880" w:rsidRDefault="001D1D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per i non soggetti alla ritenuta d’acconto del 4% nell’ammontare delle somme è ricompresa l’IVA sia nelle Entrate che nelle Spese;</w:t>
      </w:r>
    </w:p>
    <w:p w:rsidR="00212880" w:rsidRDefault="001D1D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per i soggetti alla ritenuta d’acconto del 4%:</w:t>
      </w:r>
    </w:p>
    <w:p w:rsidR="00212880" w:rsidRPr="007B7599" w:rsidRDefault="001D1D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7B7599">
        <w:rPr>
          <w:color w:val="000000"/>
        </w:rPr>
        <w:lastRenderedPageBreak/>
        <w:t>IVA Interamente detraibile ( l’IVA non deve essere ricompresa né per l’entrate né per le</w:t>
      </w:r>
      <w:r w:rsidR="007B7599" w:rsidRPr="007B7599">
        <w:rPr>
          <w:color w:val="000000"/>
        </w:rPr>
        <w:t xml:space="preserve"> spese, </w:t>
      </w:r>
      <w:r w:rsidR="00F54489" w:rsidRPr="007B7599">
        <w:rPr>
          <w:color w:val="000000"/>
        </w:rPr>
        <w:t>ma riportata nell’apposita colonna del prospetto costi anche nelle entrate ove ricorre)</w:t>
      </w:r>
      <w:r w:rsidRPr="007B7599">
        <w:rPr>
          <w:color w:val="000000"/>
        </w:rPr>
        <w:t>;</w:t>
      </w:r>
    </w:p>
    <w:p w:rsidR="00212880" w:rsidRPr="007B7599" w:rsidRDefault="001D1D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7B7599">
        <w:rPr>
          <w:color w:val="000000"/>
        </w:rPr>
        <w:t>IVA parzialmente detraibile con percentuale (sia nell’entrate che nelle spese si ricomprendono gli importi relativi all’ IVA in base alla percentuale riportata);</w:t>
      </w:r>
    </w:p>
    <w:p w:rsidR="00212880" w:rsidRDefault="001D1D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IVA non detraibile (in questo caso sia nelle entrate che nelle uscite l’IVA è ricompresa).</w:t>
      </w:r>
    </w:p>
    <w:p w:rsidR="00212880" w:rsidRDefault="001D1DBF">
      <w:pPr>
        <w:jc w:val="both"/>
        <w:rPr>
          <w:b/>
          <w:i/>
          <w:color w:val="0070C0"/>
        </w:rPr>
      </w:pPr>
      <w:r>
        <w:rPr>
          <w:b/>
          <w:i/>
          <w:color w:val="0070C0"/>
        </w:rPr>
        <w:t xml:space="preserve">SPESE NON AMMISSIBILI </w:t>
      </w:r>
    </w:p>
    <w:p w:rsidR="00212880" w:rsidRDefault="001D1DBF">
      <w:pPr>
        <w:jc w:val="both"/>
      </w:pPr>
      <w:r>
        <w:t xml:space="preserve">Non sono ammissibili le seguenti voci di spesa: 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acquisto di beni strumentali durevoli non necessari al</w:t>
      </w:r>
      <w:r w:rsidR="00601B9E">
        <w:rPr>
          <w:color w:val="000000"/>
        </w:rPr>
        <w:t>l’iniziativa singola/attività annuale</w:t>
      </w:r>
      <w:r>
        <w:rPr>
          <w:color w:val="000000"/>
        </w:rPr>
        <w:t xml:space="preserve"> e qualsiasi sp</w:t>
      </w:r>
      <w:r w:rsidR="009E568D">
        <w:rPr>
          <w:color w:val="000000"/>
        </w:rPr>
        <w:t>esa considerata di investimento</w:t>
      </w:r>
      <w:r>
        <w:rPr>
          <w:color w:val="000000"/>
        </w:rPr>
        <w:t>;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spese non riconducibili </w:t>
      </w:r>
      <w:r w:rsidR="009E568D">
        <w:rPr>
          <w:color w:val="000000"/>
        </w:rPr>
        <w:t xml:space="preserve">all’attività progettuale </w:t>
      </w:r>
      <w:r>
        <w:rPr>
          <w:color w:val="000000"/>
        </w:rPr>
        <w:t>e non espressamente identificabili come tipologia nei documenti ammissibili;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spese di manutenzione straordinaria degli immobili; 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spese per pubblicazioni </w:t>
      </w:r>
      <w:r w:rsidR="009E568D" w:rsidRPr="009E568D">
        <w:rPr>
          <w:color w:val="000000"/>
        </w:rPr>
        <w:t>(programmi, cataloghi, libri, cd, dvd, gadget, ecc.)</w:t>
      </w:r>
      <w:r w:rsidR="009E568D">
        <w:rPr>
          <w:color w:val="000000"/>
        </w:rPr>
        <w:t xml:space="preserve"> </w:t>
      </w:r>
      <w:r w:rsidR="000D2CFA">
        <w:rPr>
          <w:color w:val="000000"/>
        </w:rPr>
        <w:t>che vengano messe</w:t>
      </w:r>
      <w:r>
        <w:rPr>
          <w:color w:val="000000"/>
        </w:rPr>
        <w:t xml:space="preserve"> in vendita</w:t>
      </w:r>
      <w:r w:rsidR="009E568D">
        <w:rPr>
          <w:color w:val="000000"/>
        </w:rPr>
        <w:t xml:space="preserve"> al di fuori del periodo dell’attività progettuale</w:t>
      </w:r>
      <w:r>
        <w:rPr>
          <w:color w:val="000000"/>
        </w:rPr>
        <w:t>;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spese per noleggio di mobili, veicoli, attrezzature, per affitto locali, non direttamente necessari alla realizzazione </w:t>
      </w:r>
      <w:r w:rsidR="00C6579D">
        <w:rPr>
          <w:color w:val="000000"/>
        </w:rPr>
        <w:t>dell’iniziativa singola/attività annuale</w:t>
      </w:r>
      <w:r>
        <w:rPr>
          <w:color w:val="000000"/>
        </w:rPr>
        <w:t>;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spese di ammende, sanzioni, contravvenzioni, penali e per controversie legali, ravvedimenti onerosi e relativi interessi;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costi relativi a danni e indennizzi;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erogazioni liberali (cioè contributi a favore di altri soggetti ) e donazioni;</w:t>
      </w:r>
    </w:p>
    <w:p w:rsidR="00212880" w:rsidRPr="001C479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1C4790">
        <w:rPr>
          <w:color w:val="000000"/>
        </w:rPr>
        <w:t>costi figurativi;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imposte (es. IRAP, IRES); 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ogni forma di prestazione non documentata;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spese e sue relative attestazioni di pagamento non intestate al soggetto beneficiario autorizzato al ricevimento del contributo;</w:t>
      </w:r>
    </w:p>
    <w:p w:rsidR="00212880" w:rsidRDefault="001D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ogni altro costo che risulti non direttamente sostenuto dal soggetto richiedente, non direttamente imputabile ad una o più attività del progetto,</w:t>
      </w:r>
      <w:r w:rsidR="00A521DA">
        <w:rPr>
          <w:color w:val="000000"/>
        </w:rPr>
        <w:t xml:space="preserve"> non congruo in relazione alle attività del progetto finanziato,</w:t>
      </w:r>
      <w:r>
        <w:rPr>
          <w:color w:val="000000"/>
        </w:rPr>
        <w:t xml:space="preserve"> non opportunamente documentato con documenti fiscalmente validi e non riferito all’arco temporale del progetto.</w:t>
      </w:r>
    </w:p>
    <w:p w:rsidR="00212880" w:rsidRDefault="001D1DBF">
      <w:pPr>
        <w:jc w:val="both"/>
        <w:rPr>
          <w:b/>
          <w:i/>
          <w:color w:val="0070C0"/>
        </w:rPr>
      </w:pPr>
      <w:r>
        <w:rPr>
          <w:b/>
          <w:i/>
          <w:color w:val="0070C0"/>
        </w:rPr>
        <w:t xml:space="preserve">TIPOLOGIE </w:t>
      </w:r>
      <w:proofErr w:type="spellStart"/>
      <w:r>
        <w:rPr>
          <w:b/>
          <w:i/>
          <w:color w:val="0070C0"/>
        </w:rPr>
        <w:t>DI</w:t>
      </w:r>
      <w:proofErr w:type="spellEnd"/>
      <w:r>
        <w:rPr>
          <w:b/>
          <w:i/>
          <w:color w:val="0070C0"/>
        </w:rPr>
        <w:t xml:space="preserve"> GIUSTIFICATIVI AMMESSI </w:t>
      </w:r>
    </w:p>
    <w:p w:rsidR="00212880" w:rsidRDefault="001D1DBF">
      <w:pPr>
        <w:jc w:val="both"/>
      </w:pPr>
      <w:r>
        <w:t>Tutti i giustificativi di spesa dovranno essere documenti fiscalmente validi</w:t>
      </w:r>
      <w:r w:rsidRPr="00EE5177">
        <w:t>. I documenti fiscali presentati dovranno e</w:t>
      </w:r>
      <w:r w:rsidR="00601B9E" w:rsidRPr="00EE5177">
        <w:t xml:space="preserve">ssere quietanzati per un importo almeno pari al valore del contributo comunale concesso, </w:t>
      </w:r>
      <w:r w:rsidRPr="00EE5177">
        <w:t xml:space="preserve"> ordinati per tipologia</w:t>
      </w:r>
      <w:r w:rsidR="00601B9E" w:rsidRPr="00EE5177">
        <w:t xml:space="preserve"> come descritto sopra</w:t>
      </w:r>
      <w:r w:rsidRPr="00EE5177">
        <w:t xml:space="preserve"> ed opportunamente corredati dai documenti che ne attestino la quietanza. </w:t>
      </w:r>
      <w:r w:rsidRPr="00EE5177">
        <w:rPr>
          <w:u w:val="single"/>
        </w:rPr>
        <w:t>Non saranno accettate generiche apposizioni di “per ricevuta/quietanza” sui documenti e nemmeno autodichiarazioni che i pagamenti sono stati effettuati</w:t>
      </w:r>
      <w:r w:rsidRPr="00EE5177">
        <w:t>.</w:t>
      </w:r>
      <w:r>
        <w:t xml:space="preserve"> </w:t>
      </w:r>
    </w:p>
    <w:p w:rsidR="00212880" w:rsidRDefault="001D1DBF">
      <w:pPr>
        <w:jc w:val="both"/>
      </w:pPr>
      <w:r>
        <w:t>I giustificativi di spesa originali dovranno essere conservati dal beneficiario. In ogni caso, in qualsiasi momento i giustificativi originali dovranno essere resi disponibili all’Amministrazione Comunale.</w:t>
      </w:r>
    </w:p>
    <w:p w:rsidR="00212880" w:rsidRDefault="001D1DBF">
      <w:pPr>
        <w:jc w:val="both"/>
      </w:pPr>
      <w:r>
        <w:t xml:space="preserve">Sono ritenuti fiscalmente validi i seguenti documenti:  </w:t>
      </w:r>
    </w:p>
    <w:p w:rsidR="00212880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F24;</w:t>
      </w:r>
    </w:p>
    <w:p w:rsidR="00212880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Busta paga</w:t>
      </w:r>
      <w:r w:rsidR="003504C3">
        <w:rPr>
          <w:color w:val="000000"/>
        </w:rPr>
        <w:t>;</w:t>
      </w:r>
    </w:p>
    <w:p w:rsidR="00212880" w:rsidRPr="003504C3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504C3">
        <w:rPr>
          <w:color w:val="000000"/>
        </w:rPr>
        <w:t>Rendiconto costo del personale: INPS, INAIL</w:t>
      </w:r>
      <w:r w:rsidR="003504C3" w:rsidRPr="003504C3">
        <w:rPr>
          <w:color w:val="000000"/>
        </w:rPr>
        <w:t xml:space="preserve"> ecc.</w:t>
      </w:r>
      <w:r w:rsidRPr="003504C3">
        <w:rPr>
          <w:color w:val="000000"/>
        </w:rPr>
        <w:t>;</w:t>
      </w:r>
    </w:p>
    <w:p w:rsidR="00212880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>Fattura;</w:t>
      </w:r>
    </w:p>
    <w:p w:rsidR="00212880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Parcella;</w:t>
      </w:r>
    </w:p>
    <w:p w:rsidR="00212880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Ricevuta fiscale; </w:t>
      </w:r>
    </w:p>
    <w:p w:rsidR="00212880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Ricevuta/nota di prestazione occasionale redatta con gli estremi del collaboratore/relatore/libero professionista ecc..  firmata dallo stesso;</w:t>
      </w:r>
    </w:p>
    <w:p w:rsidR="00212880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Scontrino fiscale parlante (sono ammessi quale documento giustificativo della spesa solo se provano che i costi sostenuti sono riferibili al soggetto beneficiario e permettono di conoscere la tipologia e la quantità del bene o del servizio acquistato);</w:t>
      </w:r>
    </w:p>
    <w:p w:rsidR="00212880" w:rsidRDefault="00383E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Nota rimborso spese documentate: richiesta </w:t>
      </w:r>
      <w:r w:rsidR="001D1DBF">
        <w:rPr>
          <w:color w:val="000000"/>
        </w:rPr>
        <w:t>indirizzata al soggetto titolare del</w:t>
      </w:r>
      <w:r w:rsidR="00601B9E">
        <w:rPr>
          <w:color w:val="000000"/>
        </w:rPr>
        <w:t>l’iniziativa singola/attività annuale</w:t>
      </w:r>
      <w:r>
        <w:rPr>
          <w:color w:val="000000"/>
        </w:rPr>
        <w:t xml:space="preserve"> da parte del percipiente</w:t>
      </w:r>
      <w:r w:rsidR="001D1DBF">
        <w:rPr>
          <w:color w:val="000000"/>
        </w:rPr>
        <w:t xml:space="preserve"> </w:t>
      </w:r>
      <w:r>
        <w:rPr>
          <w:color w:val="000000"/>
        </w:rPr>
        <w:t>ch</w:t>
      </w:r>
      <w:r w:rsidR="001D1DBF">
        <w:rPr>
          <w:color w:val="000000"/>
        </w:rPr>
        <w:t>e deve attestare l’importo del rimborso, i dati relativi al soggetto rimborsato, la causa e la data della spesa cui si riferisce il rimborso e la sua pertinenza al progetto. Alla nota di rimborso dovranno essere</w:t>
      </w:r>
      <w:r>
        <w:rPr>
          <w:color w:val="000000"/>
        </w:rPr>
        <w:t xml:space="preserve"> allegati i documenti contabili</w:t>
      </w:r>
      <w:r w:rsidR="001D1DBF">
        <w:rPr>
          <w:color w:val="000000"/>
        </w:rPr>
        <w:t xml:space="preserve"> aventi valore probatorio della spesa sostenuta</w:t>
      </w:r>
      <w:r>
        <w:rPr>
          <w:color w:val="000000"/>
        </w:rPr>
        <w:t xml:space="preserve"> firmati dal percipiente</w:t>
      </w:r>
      <w:r w:rsidR="001D1DBF">
        <w:rPr>
          <w:color w:val="000000"/>
        </w:rPr>
        <w:t xml:space="preserve">, ad esempio: biglietti treno, </w:t>
      </w:r>
      <w:r w:rsidR="001D1DBF" w:rsidRPr="00722FAF">
        <w:rPr>
          <w:color w:val="000000"/>
        </w:rPr>
        <w:t>scontrini fiscali,</w:t>
      </w:r>
      <w:r w:rsidR="001D1DBF">
        <w:rPr>
          <w:color w:val="000000"/>
        </w:rPr>
        <w:t xml:space="preserve"> ricevute pedaggi autostradali ecc.</w:t>
      </w:r>
      <w:r>
        <w:rPr>
          <w:color w:val="000000"/>
        </w:rPr>
        <w:t xml:space="preserve"> La nota di rimborso deve essere firmata dal percipiente e dal</w:t>
      </w:r>
      <w:r w:rsidR="00601B9E">
        <w:rPr>
          <w:color w:val="000000"/>
        </w:rPr>
        <w:t xml:space="preserve"> rappresentante legale del</w:t>
      </w:r>
      <w:r>
        <w:rPr>
          <w:color w:val="000000"/>
        </w:rPr>
        <w:t xml:space="preserve"> beneficiario del contributo ed essere corredata dai documenti comprovanti la quietanza della stessa</w:t>
      </w:r>
      <w:r w:rsidR="001D1DBF">
        <w:rPr>
          <w:color w:val="000000"/>
        </w:rPr>
        <w:t>.</w:t>
      </w:r>
      <w:r w:rsidR="00AA5CCB">
        <w:rPr>
          <w:color w:val="000000"/>
        </w:rPr>
        <w:t xml:space="preserve"> Il Comune riconoscerà a titolo di rimborso per l’uso del mezzo un importo non superiore ad 1/5 del prezzo medio della benzina per km percorso.  A tal fine è obbligatoria la compilazione di un prospetto che in</w:t>
      </w:r>
      <w:r w:rsidR="00C17C1E">
        <w:rPr>
          <w:color w:val="000000"/>
        </w:rPr>
        <w:t xml:space="preserve">dichi gli utilizzatori di mezzi, il periodo di impiego degli stessi </w:t>
      </w:r>
      <w:r w:rsidR="00AA5CCB">
        <w:rPr>
          <w:color w:val="000000"/>
        </w:rPr>
        <w:t>e i km percorsi</w:t>
      </w:r>
      <w:r w:rsidR="001D1DBF">
        <w:rPr>
          <w:color w:val="000000"/>
        </w:rPr>
        <w:t>;</w:t>
      </w:r>
    </w:p>
    <w:p w:rsidR="00212880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Quietanza premi assicurativi; </w:t>
      </w:r>
    </w:p>
    <w:p w:rsidR="00212880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Quietanza affissioni pubbliche;</w:t>
      </w:r>
    </w:p>
    <w:p w:rsidR="00212880" w:rsidRDefault="001D1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Bollette utenze e canoni di affitto per la quota parte relativa al periodo di svolgimento del</w:t>
      </w:r>
      <w:r w:rsidR="00601B9E">
        <w:rPr>
          <w:color w:val="000000"/>
        </w:rPr>
        <w:t>l’iniziativa singola/attività annuale</w:t>
      </w:r>
      <w:r>
        <w:rPr>
          <w:color w:val="000000"/>
        </w:rPr>
        <w:t>.</w:t>
      </w:r>
    </w:p>
    <w:p w:rsidR="00212880" w:rsidRDefault="0021288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FF1416" w:rsidRDefault="00FF141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</w:pPr>
    </w:p>
    <w:sectPr w:rsidR="00FF1416" w:rsidSect="0021288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E4A"/>
    <w:multiLevelType w:val="hybridMultilevel"/>
    <w:tmpl w:val="5F36FE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35A3C"/>
    <w:multiLevelType w:val="multilevel"/>
    <w:tmpl w:val="0B10B6B2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85542"/>
    <w:multiLevelType w:val="multilevel"/>
    <w:tmpl w:val="23329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255586"/>
    <w:multiLevelType w:val="multilevel"/>
    <w:tmpl w:val="72627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715E7"/>
    <w:multiLevelType w:val="hybridMultilevel"/>
    <w:tmpl w:val="F80CAC0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450F67"/>
    <w:multiLevelType w:val="multilevel"/>
    <w:tmpl w:val="172A2F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5220A4"/>
    <w:multiLevelType w:val="hybridMultilevel"/>
    <w:tmpl w:val="CA98E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66AA7"/>
    <w:multiLevelType w:val="hybridMultilevel"/>
    <w:tmpl w:val="99C482F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A11014"/>
    <w:multiLevelType w:val="multilevel"/>
    <w:tmpl w:val="E54E89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D5E0C"/>
    <w:multiLevelType w:val="hybridMultilevel"/>
    <w:tmpl w:val="634847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A7D0B"/>
    <w:multiLevelType w:val="multilevel"/>
    <w:tmpl w:val="D6DA0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212880"/>
    <w:rsid w:val="00047AB6"/>
    <w:rsid w:val="00050622"/>
    <w:rsid w:val="00090F0C"/>
    <w:rsid w:val="000D2CFA"/>
    <w:rsid w:val="001326A3"/>
    <w:rsid w:val="00142FEC"/>
    <w:rsid w:val="001625C5"/>
    <w:rsid w:val="00194F87"/>
    <w:rsid w:val="0019716B"/>
    <w:rsid w:val="0019773A"/>
    <w:rsid w:val="001A2043"/>
    <w:rsid w:val="001A3064"/>
    <w:rsid w:val="001C4790"/>
    <w:rsid w:val="001D1DBF"/>
    <w:rsid w:val="001F538C"/>
    <w:rsid w:val="001F53FF"/>
    <w:rsid w:val="00212880"/>
    <w:rsid w:val="0021451D"/>
    <w:rsid w:val="00293CAB"/>
    <w:rsid w:val="00297841"/>
    <w:rsid w:val="002A75CC"/>
    <w:rsid w:val="003504C3"/>
    <w:rsid w:val="00373FBB"/>
    <w:rsid w:val="00383EEB"/>
    <w:rsid w:val="0039613C"/>
    <w:rsid w:val="003A670E"/>
    <w:rsid w:val="003E45A2"/>
    <w:rsid w:val="004351EB"/>
    <w:rsid w:val="004B17BE"/>
    <w:rsid w:val="004B3EB2"/>
    <w:rsid w:val="0050477D"/>
    <w:rsid w:val="00536366"/>
    <w:rsid w:val="0058730F"/>
    <w:rsid w:val="00587DB6"/>
    <w:rsid w:val="005C3083"/>
    <w:rsid w:val="005F65FE"/>
    <w:rsid w:val="00601B9E"/>
    <w:rsid w:val="006432D4"/>
    <w:rsid w:val="00675AD4"/>
    <w:rsid w:val="006D289C"/>
    <w:rsid w:val="006E2D20"/>
    <w:rsid w:val="00702960"/>
    <w:rsid w:val="00703B26"/>
    <w:rsid w:val="00722FAF"/>
    <w:rsid w:val="00730E57"/>
    <w:rsid w:val="00737845"/>
    <w:rsid w:val="0074371C"/>
    <w:rsid w:val="00765A41"/>
    <w:rsid w:val="007B7599"/>
    <w:rsid w:val="007E46CF"/>
    <w:rsid w:val="00837B9D"/>
    <w:rsid w:val="008913F2"/>
    <w:rsid w:val="00966F16"/>
    <w:rsid w:val="00967097"/>
    <w:rsid w:val="00975178"/>
    <w:rsid w:val="009E568D"/>
    <w:rsid w:val="00A40BD4"/>
    <w:rsid w:val="00A521DA"/>
    <w:rsid w:val="00A53718"/>
    <w:rsid w:val="00A83FBF"/>
    <w:rsid w:val="00AA5CCB"/>
    <w:rsid w:val="00AC3A53"/>
    <w:rsid w:val="00B76120"/>
    <w:rsid w:val="00B91E55"/>
    <w:rsid w:val="00BB5505"/>
    <w:rsid w:val="00BE52BC"/>
    <w:rsid w:val="00C17C1E"/>
    <w:rsid w:val="00C45944"/>
    <w:rsid w:val="00C4616E"/>
    <w:rsid w:val="00C6579D"/>
    <w:rsid w:val="00D30A46"/>
    <w:rsid w:val="00D37CD1"/>
    <w:rsid w:val="00D547E0"/>
    <w:rsid w:val="00D57053"/>
    <w:rsid w:val="00E36688"/>
    <w:rsid w:val="00EA62B2"/>
    <w:rsid w:val="00EB25C7"/>
    <w:rsid w:val="00EC2862"/>
    <w:rsid w:val="00EE5177"/>
    <w:rsid w:val="00EF7E01"/>
    <w:rsid w:val="00F5336B"/>
    <w:rsid w:val="00F54489"/>
    <w:rsid w:val="00FF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71A"/>
  </w:style>
  <w:style w:type="paragraph" w:styleId="Titolo1">
    <w:name w:val="heading 1"/>
    <w:basedOn w:val="normal"/>
    <w:next w:val="normal"/>
    <w:rsid w:val="002128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128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128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128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1288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128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12880"/>
  </w:style>
  <w:style w:type="table" w:customStyle="1" w:styleId="TableNormal">
    <w:name w:val="Table Normal"/>
    <w:rsid w:val="002128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12880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3671A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DF673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67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67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673D"/>
    <w:rPr>
      <w:vertAlign w:val="superscript"/>
    </w:rPr>
  </w:style>
  <w:style w:type="paragraph" w:styleId="Sottotitolo">
    <w:name w:val="Subtitle"/>
    <w:basedOn w:val="normal"/>
    <w:next w:val="normal"/>
    <w:rsid w:val="002128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437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43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1Z1PFH9IwyK1IV1o3hNjDeDlvw==">AMUW2mW5dFWoe8z0i62VxDCoJfoWrzQZLpAOKc5LU7RMIqzSAmjF3teLsaSFNB/f5V7o5A5dl4frPSegKBjbMDiHpyfdlpH+MPfAJGOKh5ecWxEWR+s2o4I=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D20E67-1C65-462B-A6AC-93D394E7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Malagutti</dc:creator>
  <cp:lastModifiedBy>mt.pinna</cp:lastModifiedBy>
  <cp:revision>72</cp:revision>
  <dcterms:created xsi:type="dcterms:W3CDTF">2022-04-06T11:13:00Z</dcterms:created>
  <dcterms:modified xsi:type="dcterms:W3CDTF">2023-02-21T15:43:00Z</dcterms:modified>
</cp:coreProperties>
</file>